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华文中宋" w:hAnsi="华文中宋" w:eastAsia="华文中宋"/>
          <w:b/>
          <w:color w:val="FF0000"/>
          <w:spacing w:val="-16"/>
          <w:sz w:val="96"/>
          <w:szCs w:val="86"/>
        </w:rPr>
      </w:pPr>
    </w:p>
    <w:p>
      <w:pPr>
        <w:jc w:val="center"/>
        <w:rPr>
          <w:rFonts w:ascii="宋体"/>
          <w:b/>
          <w:color w:val="FF0000"/>
          <w:spacing w:val="-16"/>
          <w:sz w:val="96"/>
          <w:szCs w:val="86"/>
        </w:rPr>
      </w:pPr>
      <w:r>
        <w:rPr>
          <w:rFonts w:hint="eastAsia" w:ascii="宋体" w:hAnsi="宋体"/>
          <w:b/>
          <w:color w:val="FF0000"/>
          <w:spacing w:val="-16"/>
          <w:sz w:val="96"/>
          <w:szCs w:val="86"/>
        </w:rPr>
        <w:t>重庆大学</w:t>
      </w:r>
    </w:p>
    <w:p>
      <w:pPr>
        <w:jc w:val="center"/>
        <w:rPr>
          <w:rFonts w:ascii="宋体"/>
          <w:b/>
          <w:color w:val="FF0000"/>
          <w:spacing w:val="-16"/>
          <w:sz w:val="72"/>
          <w:szCs w:val="86"/>
        </w:rPr>
      </w:pPr>
      <w:r>
        <w:rPr>
          <w:rFonts w:hint="eastAsia" w:ascii="宋体" w:hAnsi="宋体"/>
          <w:b/>
          <w:color w:val="FF0000"/>
          <w:spacing w:val="-16"/>
          <w:sz w:val="72"/>
          <w:szCs w:val="86"/>
        </w:rPr>
        <w:t>城市建设与环境工程学院文件</w:t>
      </w:r>
    </w:p>
    <w:p>
      <w:pPr>
        <w:jc w:val="center"/>
        <w:rPr>
          <w:rFonts w:ascii="仿宋_GB2312" w:hAnsi="宋体" w:eastAsia="仿宋_GB2312"/>
          <w:b/>
          <w:sz w:val="32"/>
        </w:rPr>
      </w:pPr>
      <w:r>
        <w:rPr>
          <w:rFonts w:hint="eastAsia" w:ascii="仿宋_GB2312" w:hAnsi="宋体" w:eastAsia="仿宋_GB2312"/>
          <w:b/>
          <w:sz w:val="32"/>
        </w:rPr>
        <w:t>重大城环〔</w:t>
      </w:r>
      <w:r>
        <w:rPr>
          <w:rFonts w:ascii="仿宋_GB2312" w:hAnsi="宋体" w:eastAsia="仿宋_GB2312"/>
          <w:b/>
          <w:sz w:val="32"/>
        </w:rPr>
        <w:t>2011</w:t>
      </w:r>
      <w:r>
        <w:rPr>
          <w:rFonts w:hint="eastAsia" w:ascii="仿宋_GB2312" w:hAnsi="宋体" w:eastAsia="仿宋_GB2312"/>
          <w:b/>
          <w:sz w:val="32"/>
        </w:rPr>
        <w:t>〕</w:t>
      </w:r>
      <w:r>
        <w:rPr>
          <w:rFonts w:hint="eastAsia" w:ascii="仿宋_GB2312" w:hAnsi="宋体" w:eastAsia="仿宋_GB2312"/>
          <w:b/>
          <w:sz w:val="32"/>
          <w:lang w:val="en-US" w:eastAsia="zh-CN"/>
        </w:rPr>
        <w:t>14</w:t>
      </w:r>
      <w:r>
        <w:rPr>
          <w:rFonts w:hint="eastAsia" w:ascii="仿宋_GB2312" w:hAnsi="宋体" w:eastAsia="仿宋_GB2312"/>
          <w:b/>
          <w:sz w:val="32"/>
        </w:rPr>
        <w:t>号</w:t>
      </w:r>
    </w:p>
    <w:p>
      <w:pPr>
        <w:jc w:val="center"/>
        <w:rPr>
          <w:rFonts w:ascii="宋体"/>
          <w:sz w:val="36"/>
          <w:szCs w:val="20"/>
        </w:rPr>
      </w:pPr>
      <w:r>
        <w:rPr>
          <w:rFonts w:ascii="Times New Roman" w:hAnsi="Times New Roman" w:eastAsia="宋体" w:cs="Times New Roman"/>
          <w:kern w:val="2"/>
          <w:sz w:val="21"/>
          <w:szCs w:val="24"/>
          <w:lang w:val="en-US" w:eastAsia="zh-CN" w:bidi="ar-SA"/>
        </w:rPr>
        <w:pict>
          <v:line id="Line 2" o:spid="_x0000_s1026" style="position:absolute;left:0;margin-left:9pt;margin-top:15.6pt;height:0.05pt;width:468pt;rotation:0f;z-index:251658240;" o:ole="f" fillcolor="#FFFFFF" filled="f" o:preferrelative="t" stroked="t" coordsize="21600,21600">
            <v:fill on="f" color2="#FFFFFF" focus="0%"/>
            <v:stroke weight="1.5pt" color="#FF0000" color2="#FFFFFF" miterlimit="2"/>
            <v:imagedata gain="65536f" blacklevel="0f" gamma="0"/>
            <o:lock v:ext="edit" position="f" selection="f" grouping="f" rotation="f" cropping="f" text="f" aspectratio="f"/>
          </v:line>
        </w:pict>
      </w:r>
    </w:p>
    <w:p>
      <w:pPr>
        <w:jc w:val="center"/>
        <w:rPr>
          <w:rFonts w:ascii="宋体" w:hAnsi="宋体"/>
          <w:sz w:val="36"/>
          <w:szCs w:val="20"/>
        </w:rPr>
      </w:pPr>
      <w:r>
        <w:rPr>
          <w:rFonts w:hint="eastAsia" w:ascii="宋体" w:hAnsi="宋体"/>
          <w:sz w:val="36"/>
          <w:szCs w:val="20"/>
        </w:rPr>
        <w:t>关于印发《城市建设与环境工程学院关于转专业学生学分认定实施细则》的通知</w:t>
      </w:r>
    </w:p>
    <w:p>
      <w:pPr>
        <w:spacing w:line="500" w:lineRule="exact"/>
        <w:rPr>
          <w:rFonts w:ascii="仿宋_GB2312" w:hAnsi="宋体" w:eastAsia="仿宋_GB2312"/>
          <w:color w:val="000000"/>
          <w:sz w:val="28"/>
          <w:szCs w:val="20"/>
        </w:rPr>
      </w:pPr>
      <w:r>
        <w:rPr>
          <w:rFonts w:hint="eastAsia" w:ascii="仿宋_GB2312" w:hAnsi="宋体" w:eastAsia="仿宋_GB2312"/>
          <w:color w:val="000000"/>
          <w:sz w:val="28"/>
          <w:szCs w:val="20"/>
        </w:rPr>
        <w:t>院内相关单位：</w:t>
      </w:r>
    </w:p>
    <w:p>
      <w:pPr>
        <w:spacing w:line="500" w:lineRule="exact"/>
        <w:ind w:firstLine="560" w:firstLineChars="200"/>
        <w:rPr>
          <w:rFonts w:hint="eastAsia" w:ascii="仿宋_GB2312" w:hAnsi="宋体" w:eastAsia="仿宋_GB2312"/>
          <w:color w:val="000000"/>
          <w:sz w:val="28"/>
          <w:szCs w:val="20"/>
        </w:rPr>
      </w:pPr>
      <w:r>
        <w:rPr>
          <w:rFonts w:hint="eastAsia" w:ascii="仿宋_GB2312" w:hAnsi="宋体" w:eastAsia="仿宋_GB2312"/>
          <w:color w:val="000000"/>
          <w:sz w:val="28"/>
          <w:szCs w:val="20"/>
        </w:rPr>
        <w:t>根据重庆大学教务处毕业生审查相关规定，经学院教学工作会议研究决定，制定《城市建设与环境工程学院转专业学分认定实施细则》，现印发给你们，请遵照执行。</w:t>
      </w:r>
    </w:p>
    <w:p>
      <w:pPr>
        <w:spacing w:line="500" w:lineRule="exact"/>
        <w:ind w:firstLine="560" w:firstLineChars="200"/>
        <w:rPr>
          <w:rFonts w:hint="eastAsia" w:ascii="仿宋_GB2312" w:hAnsi="宋体" w:eastAsia="仿宋_GB2312"/>
          <w:color w:val="000000"/>
          <w:sz w:val="28"/>
          <w:szCs w:val="20"/>
        </w:rPr>
      </w:pPr>
      <w:r>
        <w:rPr>
          <w:rFonts w:hint="eastAsia" w:ascii="仿宋_GB2312" w:hAnsi="宋体" w:eastAsia="仿宋_GB2312"/>
          <w:color w:val="000000"/>
          <w:sz w:val="28"/>
          <w:szCs w:val="20"/>
        </w:rPr>
        <w:t>特此通知。</w:t>
      </w:r>
    </w:p>
    <w:p>
      <w:pPr>
        <w:spacing w:line="500" w:lineRule="exact"/>
        <w:ind w:firstLine="560" w:firstLineChars="200"/>
        <w:jc w:val="right"/>
        <w:rPr>
          <w:rFonts w:ascii="仿宋_GB2312" w:hAnsi="宋体" w:eastAsia="仿宋_GB2312"/>
          <w:color w:val="000000"/>
          <w:sz w:val="28"/>
          <w:szCs w:val="20"/>
        </w:rPr>
      </w:pPr>
    </w:p>
    <w:p>
      <w:pPr>
        <w:spacing w:line="500" w:lineRule="exact"/>
        <w:ind w:firstLine="560" w:firstLineChars="200"/>
        <w:jc w:val="right"/>
        <w:rPr>
          <w:rFonts w:hint="eastAsia" w:ascii="仿宋_GB2312" w:hAnsi="宋体" w:eastAsia="仿宋_GB2312"/>
          <w:color w:val="000000"/>
          <w:sz w:val="28"/>
          <w:szCs w:val="20"/>
        </w:rPr>
      </w:pPr>
    </w:p>
    <w:p>
      <w:pPr>
        <w:spacing w:line="500" w:lineRule="exact"/>
        <w:ind w:firstLine="560" w:firstLineChars="200"/>
        <w:jc w:val="right"/>
        <w:rPr>
          <w:rFonts w:hint="eastAsia" w:ascii="仿宋_GB2312" w:hAnsi="宋体" w:eastAsia="仿宋_GB2312"/>
          <w:color w:val="000000"/>
          <w:sz w:val="28"/>
          <w:szCs w:val="20"/>
        </w:rPr>
      </w:pPr>
    </w:p>
    <w:p>
      <w:pPr>
        <w:spacing w:line="500" w:lineRule="exact"/>
        <w:ind w:firstLine="560" w:firstLineChars="200"/>
        <w:jc w:val="right"/>
        <w:rPr>
          <w:rFonts w:ascii="仿宋_GB2312" w:hAnsi="宋体" w:eastAsia="仿宋_GB2312"/>
          <w:color w:val="000000"/>
          <w:sz w:val="28"/>
          <w:szCs w:val="20"/>
        </w:rPr>
      </w:pPr>
    </w:p>
    <w:p>
      <w:pPr>
        <w:spacing w:line="500" w:lineRule="exact"/>
        <w:ind w:firstLine="560" w:firstLineChars="200"/>
        <w:jc w:val="right"/>
        <w:rPr>
          <w:rFonts w:ascii="仿宋_GB2312" w:hAnsi="宋体" w:eastAsia="仿宋_GB2312"/>
          <w:color w:val="000000"/>
          <w:sz w:val="28"/>
          <w:szCs w:val="20"/>
        </w:rPr>
      </w:pPr>
    </w:p>
    <w:p>
      <w:pPr>
        <w:spacing w:line="500" w:lineRule="exact"/>
        <w:ind w:firstLine="560" w:firstLineChars="200"/>
        <w:jc w:val="right"/>
        <w:rPr>
          <w:rFonts w:ascii="仿宋_GB2312" w:hAnsi="宋体" w:eastAsia="仿宋_GB2312"/>
          <w:color w:val="000000"/>
          <w:sz w:val="28"/>
          <w:szCs w:val="20"/>
        </w:rPr>
      </w:pPr>
      <w:r>
        <w:rPr>
          <w:rFonts w:hint="eastAsia" w:ascii="仿宋_GB2312" w:hAnsi="宋体" w:eastAsia="仿宋_GB2312"/>
          <w:color w:val="000000"/>
          <w:sz w:val="28"/>
          <w:szCs w:val="20"/>
        </w:rPr>
        <w:t>城市建设与环境工程学院</w:t>
      </w:r>
    </w:p>
    <w:p>
      <w:pPr>
        <w:spacing w:line="500" w:lineRule="exact"/>
        <w:ind w:firstLine="560" w:firstLineChars="200"/>
        <w:jc w:val="right"/>
        <w:rPr>
          <w:rFonts w:ascii="仿宋_GB2312" w:hAnsi="宋体" w:eastAsia="仿宋_GB2312"/>
          <w:color w:val="000000"/>
          <w:sz w:val="28"/>
          <w:szCs w:val="20"/>
        </w:rPr>
      </w:pPr>
      <w:r>
        <w:rPr>
          <w:rFonts w:ascii="仿宋_GB2312" w:hAnsi="宋体" w:eastAsia="仿宋_GB2312"/>
          <w:color w:val="000000"/>
          <w:sz w:val="28"/>
          <w:szCs w:val="20"/>
        </w:rPr>
        <w:t>2011</w:t>
      </w:r>
      <w:r>
        <w:rPr>
          <w:rFonts w:hint="eastAsia" w:ascii="仿宋_GB2312" w:hAnsi="宋体" w:eastAsia="仿宋_GB2312"/>
          <w:color w:val="000000"/>
          <w:sz w:val="28"/>
          <w:szCs w:val="20"/>
        </w:rPr>
        <w:t>年1</w:t>
      </w:r>
      <w:r>
        <w:rPr>
          <w:rFonts w:hint="eastAsia" w:ascii="仿宋_GB2312" w:hAnsi="宋体" w:eastAsia="仿宋_GB2312"/>
          <w:color w:val="000000"/>
          <w:sz w:val="28"/>
          <w:szCs w:val="20"/>
          <w:lang w:val="en-US" w:eastAsia="zh-CN"/>
        </w:rPr>
        <w:t>2</w:t>
      </w:r>
      <w:r>
        <w:rPr>
          <w:rFonts w:hint="eastAsia" w:ascii="仿宋_GB2312" w:hAnsi="宋体" w:eastAsia="仿宋_GB2312"/>
          <w:color w:val="000000"/>
          <w:sz w:val="28"/>
          <w:szCs w:val="20"/>
        </w:rPr>
        <w:t>月</w:t>
      </w:r>
      <w:r>
        <w:rPr>
          <w:rFonts w:hint="eastAsia" w:ascii="仿宋_GB2312" w:hAnsi="宋体" w:eastAsia="仿宋_GB2312"/>
          <w:color w:val="000000"/>
          <w:sz w:val="28"/>
          <w:szCs w:val="20"/>
          <w:lang w:val="en-US" w:eastAsia="zh-CN"/>
        </w:rPr>
        <w:t>30</w:t>
      </w:r>
      <w:r>
        <w:rPr>
          <w:rFonts w:hint="eastAsia" w:ascii="仿宋_GB2312" w:hAnsi="宋体" w:eastAsia="仿宋_GB2312"/>
          <w:color w:val="000000"/>
          <w:sz w:val="28"/>
          <w:szCs w:val="20"/>
        </w:rPr>
        <w:t>日</w:t>
      </w:r>
    </w:p>
    <w:p>
      <w:pPr>
        <w:spacing w:line="560" w:lineRule="exact"/>
        <w:ind w:firstLine="6440" w:firstLineChars="2300"/>
        <w:rPr>
          <w:rFonts w:ascii="仿宋_GB2312" w:hAnsi="宋体" w:eastAsia="仿宋_GB2312"/>
          <w:color w:val="000000"/>
          <w:sz w:val="28"/>
          <w:szCs w:val="20"/>
        </w:rPr>
      </w:pPr>
    </w:p>
    <w:p>
      <w:pPr>
        <w:spacing w:line="560" w:lineRule="exact"/>
        <w:ind w:firstLine="6440" w:firstLineChars="2300"/>
        <w:rPr>
          <w:rFonts w:ascii="仿宋_GB2312" w:hAnsi="宋体" w:eastAsia="仿宋_GB2312"/>
          <w:color w:val="000000"/>
          <w:sz w:val="28"/>
          <w:szCs w:val="20"/>
        </w:rPr>
      </w:pPr>
    </w:p>
    <w:p>
      <w:pPr>
        <w:spacing w:line="560" w:lineRule="exact"/>
        <w:ind w:firstLine="6440" w:firstLineChars="2300"/>
        <w:rPr>
          <w:rFonts w:ascii="仿宋_GB2312" w:hAnsi="宋体" w:eastAsia="仿宋_GB2312"/>
          <w:color w:val="000000"/>
          <w:sz w:val="28"/>
          <w:szCs w:val="20"/>
        </w:rPr>
      </w:pPr>
    </w:p>
    <w:p>
      <w:pPr>
        <w:spacing w:line="560" w:lineRule="exact"/>
        <w:jc w:val="center"/>
        <w:rPr>
          <w:rFonts w:hint="eastAsia" w:ascii="仿宋_GB2312" w:hAnsi="宋体" w:eastAsia="仿宋_GB2312"/>
          <w:b/>
          <w:color w:val="000000"/>
          <w:sz w:val="28"/>
          <w:szCs w:val="20"/>
        </w:rPr>
      </w:pPr>
      <w:r>
        <w:rPr>
          <w:rFonts w:hint="eastAsia" w:ascii="仿宋_GB2312" w:hAnsi="宋体" w:eastAsia="仿宋_GB2312"/>
          <w:b/>
          <w:color w:val="000000"/>
          <w:sz w:val="28"/>
          <w:szCs w:val="20"/>
        </w:rPr>
        <w:t>城市建设与环境工程学院关于转专业学生学分认定实施细则</w:t>
      </w:r>
    </w:p>
    <w:p>
      <w:pPr>
        <w:spacing w:beforeLines="100" w:line="360" w:lineRule="auto"/>
        <w:jc w:val="left"/>
        <w:rPr>
          <w:rFonts w:hint="eastAsia" w:ascii="仿宋_GB2312" w:hAnsi="宋体" w:eastAsia="仿宋_GB2312"/>
          <w:color w:val="000000"/>
          <w:sz w:val="28"/>
          <w:szCs w:val="20"/>
        </w:rPr>
      </w:pPr>
      <w:r>
        <w:rPr>
          <w:rFonts w:hint="eastAsia" w:ascii="仿宋_GB2312" w:hAnsi="宋体" w:eastAsia="仿宋_GB2312"/>
          <w:color w:val="000000"/>
          <w:sz w:val="28"/>
          <w:szCs w:val="20"/>
        </w:rPr>
        <w:t>一、对课程代码、课程名称、学分与转入后专业的培养方案上所列课程均相同的课程，直接认定其课程及学分，课程类别按转入后培养方案认定。</w:t>
      </w:r>
    </w:p>
    <w:p>
      <w:pPr>
        <w:spacing w:beforeLines="100" w:line="360" w:lineRule="auto"/>
        <w:jc w:val="left"/>
        <w:rPr>
          <w:rFonts w:hint="eastAsia" w:ascii="仿宋_GB2312" w:hAnsi="宋体" w:eastAsia="仿宋_GB2312"/>
          <w:color w:val="000000"/>
          <w:sz w:val="28"/>
          <w:szCs w:val="20"/>
        </w:rPr>
      </w:pPr>
      <w:r>
        <w:rPr>
          <w:rFonts w:hint="eastAsia" w:ascii="仿宋_GB2312" w:hAnsi="宋体" w:eastAsia="仿宋_GB2312"/>
          <w:color w:val="000000"/>
          <w:sz w:val="28"/>
          <w:szCs w:val="20"/>
        </w:rPr>
        <w:t>二、对课程代码不同，但课程名称与转入后专业的培养方案上所列课程相同或相近的课程，采取学分就高原则。</w:t>
      </w:r>
    </w:p>
    <w:p>
      <w:pPr>
        <w:spacing w:beforeLines="100" w:line="360" w:lineRule="auto"/>
        <w:jc w:val="left"/>
        <w:rPr>
          <w:rFonts w:hint="eastAsia" w:ascii="仿宋_GB2312" w:hAnsi="宋体" w:eastAsia="仿宋_GB2312"/>
          <w:color w:val="000000"/>
          <w:sz w:val="28"/>
          <w:szCs w:val="20"/>
        </w:rPr>
      </w:pPr>
      <w:r>
        <w:rPr>
          <w:rFonts w:ascii="仿宋_GB2312" w:hAnsi="宋体" w:eastAsia="仿宋_GB2312"/>
          <w:color w:val="000000"/>
          <w:sz w:val="28"/>
          <w:szCs w:val="20"/>
        </w:rPr>
        <w:t>①</w:t>
      </w:r>
      <w:r>
        <w:rPr>
          <w:rFonts w:hint="eastAsia" w:ascii="仿宋_GB2312" w:hAnsi="宋体" w:eastAsia="仿宋_GB2312"/>
          <w:color w:val="000000"/>
          <w:sz w:val="28"/>
          <w:szCs w:val="20"/>
        </w:rPr>
        <w:t>若转入前所学课程的学分高于转入后专业培养方案上课程的学分，则同意认定其课程及学分，课程类别按转入后培养方案认定。</w:t>
      </w:r>
    </w:p>
    <w:p>
      <w:pPr>
        <w:spacing w:beforeLines="100" w:line="360" w:lineRule="auto"/>
        <w:jc w:val="left"/>
        <w:rPr>
          <w:rFonts w:hint="eastAsia" w:ascii="仿宋_GB2312" w:hAnsi="宋体" w:eastAsia="仿宋_GB2312"/>
          <w:color w:val="000000"/>
          <w:sz w:val="28"/>
          <w:szCs w:val="20"/>
        </w:rPr>
      </w:pPr>
      <w:r>
        <w:rPr>
          <w:rFonts w:ascii="仿宋_GB2312" w:hAnsi="宋体" w:eastAsia="仿宋_GB2312"/>
          <w:color w:val="000000"/>
          <w:sz w:val="28"/>
          <w:szCs w:val="20"/>
        </w:rPr>
        <w:t>②</w:t>
      </w:r>
      <w:r>
        <w:rPr>
          <w:rFonts w:hint="eastAsia" w:ascii="仿宋_GB2312" w:hAnsi="宋体" w:eastAsia="仿宋_GB2312"/>
          <w:color w:val="000000"/>
          <w:sz w:val="28"/>
          <w:szCs w:val="20"/>
        </w:rPr>
        <w:t>若转入前所学课程的学分低于转入后专业培养方案上课程的学分，相差不超过0.5学分，可认定其课程及学分；若学分相差超过0.5学分，则不予认定，不予认定的课程按任选课程标注，学生还需补修培养方案上所列之课程。</w:t>
      </w:r>
    </w:p>
    <w:p>
      <w:pPr>
        <w:spacing w:beforeLines="100" w:line="360" w:lineRule="auto"/>
        <w:jc w:val="left"/>
        <w:rPr>
          <w:rFonts w:hint="eastAsia" w:ascii="仿宋_GB2312" w:hAnsi="宋体" w:eastAsia="仿宋_GB2312"/>
          <w:color w:val="000000"/>
          <w:sz w:val="28"/>
          <w:szCs w:val="20"/>
        </w:rPr>
      </w:pPr>
      <w:r>
        <w:rPr>
          <w:rFonts w:hint="eastAsia" w:ascii="仿宋_GB2312" w:hAnsi="宋体" w:eastAsia="仿宋_GB2312"/>
          <w:color w:val="000000"/>
          <w:sz w:val="28"/>
          <w:szCs w:val="20"/>
        </w:rPr>
        <w:t>三、对课程代码和课程名称与转入后专业培养方案上所列课程均不同的课程，在两门课程之间相差不超过0.5学分的前提下，由教学系给出认定意见，报学校教务处进行课程和学分认定。</w:t>
      </w:r>
    </w:p>
    <w:p>
      <w:pPr>
        <w:spacing w:line="560" w:lineRule="exact"/>
        <w:ind w:firstLine="555"/>
        <w:rPr>
          <w:rFonts w:hint="eastAsia" w:ascii="仿宋_GB2312" w:hAnsi="宋体" w:eastAsia="仿宋_GB2312"/>
          <w:color w:val="000000"/>
          <w:sz w:val="28"/>
          <w:szCs w:val="20"/>
        </w:rPr>
      </w:pPr>
      <w:r>
        <w:rPr>
          <w:rFonts w:hint="eastAsia" w:ascii="仿宋_GB2312" w:hAnsi="宋体" w:eastAsia="仿宋_GB2312"/>
          <w:color w:val="000000"/>
          <w:sz w:val="28"/>
          <w:szCs w:val="20"/>
        </w:rPr>
        <w:t>该细则自发布之日起实施，解释权归学院教务办公室，如遇学校毕业审查政策调整，则及时修订。</w:t>
      </w:r>
    </w:p>
    <w:p>
      <w:pPr>
        <w:spacing w:line="560" w:lineRule="exact"/>
        <w:ind w:firstLine="555"/>
        <w:rPr>
          <w:rFonts w:hint="eastAsia" w:ascii="仿宋_GB2312" w:hAnsi="宋体" w:eastAsia="仿宋_GB2312"/>
          <w:color w:val="000000"/>
          <w:sz w:val="28"/>
          <w:szCs w:val="20"/>
        </w:rPr>
      </w:pPr>
    </w:p>
    <w:p>
      <w:pPr>
        <w:spacing w:line="560" w:lineRule="exact"/>
        <w:ind w:firstLine="555"/>
        <w:rPr>
          <w:rFonts w:hint="eastAsia" w:ascii="仿宋_GB2312" w:hAnsi="宋体" w:eastAsia="仿宋_GB2312"/>
          <w:color w:val="000000"/>
          <w:sz w:val="28"/>
          <w:szCs w:val="20"/>
        </w:rPr>
      </w:pPr>
    </w:p>
    <w:p>
      <w:pPr>
        <w:spacing w:line="560" w:lineRule="exact"/>
        <w:ind w:firstLine="555"/>
        <w:rPr>
          <w:rFonts w:ascii="仿宋_GB2312" w:hAnsi="宋体" w:eastAsia="仿宋_GB2312"/>
          <w:color w:val="000000"/>
          <w:sz w:val="28"/>
          <w:szCs w:val="20"/>
        </w:rPr>
      </w:pPr>
      <w:bookmarkStart w:id="0" w:name="_GoBack"/>
      <w:bookmarkEnd w:id="0"/>
    </w:p>
    <w:p>
      <w:pPr>
        <w:tabs>
          <w:tab w:val="left" w:pos="7560"/>
          <w:tab w:val="left" w:pos="9000"/>
        </w:tabs>
        <w:spacing w:line="620" w:lineRule="exact"/>
        <w:ind w:right="11" w:firstLine="210" w:firstLineChars="100"/>
        <w:rPr>
          <w:rFonts w:ascii="仿宋_GB2312" w:eastAsia="仿宋_GB2312"/>
          <w:sz w:val="32"/>
        </w:rPr>
      </w:pPr>
      <w:r>
        <w:rPr>
          <w:rFonts w:ascii="Times New Roman" w:hAnsi="Times New Roman" w:eastAsia="宋体" w:cs="Times New Roman"/>
          <w:kern w:val="2"/>
          <w:sz w:val="21"/>
          <w:szCs w:val="24"/>
          <w:lang w:val="en-US" w:eastAsia="zh-CN" w:bidi="ar-SA"/>
        </w:rPr>
        <w:pict>
          <v:line id="Line 3" o:spid="_x0000_s1027" style="position:absolute;left:0;flip:y;margin-left:0pt;margin-top:1.45pt;height:0.05pt;width:445.05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eastAsia="仿宋_GB2312"/>
          <w:sz w:val="32"/>
        </w:rPr>
        <w:t>城市建设与环境工程学院办公室</w:t>
      </w:r>
      <w:r>
        <w:rPr>
          <w:rFonts w:ascii="仿宋_GB2312" w:eastAsia="仿宋_GB2312"/>
          <w:sz w:val="32"/>
        </w:rPr>
        <w:t xml:space="preserve">        2011</w:t>
      </w:r>
      <w:r>
        <w:rPr>
          <w:rFonts w:hint="eastAsia" w:ascii="仿宋_GB2312" w:eastAsia="仿宋_GB2312"/>
          <w:sz w:val="32"/>
        </w:rPr>
        <w:t>年1</w:t>
      </w:r>
      <w:r>
        <w:rPr>
          <w:rFonts w:hint="eastAsia" w:ascii="仿宋_GB2312" w:eastAsia="仿宋_GB2312"/>
          <w:sz w:val="32"/>
          <w:lang w:val="en-US" w:eastAsia="zh-CN"/>
        </w:rPr>
        <w:t>2</w:t>
      </w:r>
      <w:r>
        <w:rPr>
          <w:rFonts w:hint="eastAsia" w:ascii="仿宋_GB2312" w:eastAsia="仿宋_GB2312"/>
          <w:sz w:val="32"/>
        </w:rPr>
        <w:t>月</w:t>
      </w:r>
      <w:r>
        <w:rPr>
          <w:rFonts w:hint="eastAsia" w:ascii="仿宋_GB2312" w:eastAsia="仿宋_GB2312"/>
          <w:sz w:val="32"/>
          <w:lang w:val="en-US" w:eastAsia="zh-CN"/>
        </w:rPr>
        <w:t>30</w:t>
      </w:r>
      <w:r>
        <w:rPr>
          <w:rFonts w:hint="eastAsia" w:ascii="仿宋_GB2312" w:eastAsia="仿宋_GB2312"/>
          <w:sz w:val="32"/>
        </w:rPr>
        <w:t>日印发</w:t>
      </w:r>
    </w:p>
    <w:p>
      <w:pPr>
        <w:tabs>
          <w:tab w:val="left" w:pos="8820"/>
        </w:tabs>
        <w:spacing w:line="620" w:lineRule="exact"/>
        <w:ind w:right="11"/>
        <w:rPr>
          <w:rFonts w:ascii="仿宋_GB2312" w:eastAsia="仿宋_GB2312"/>
          <w:sz w:val="32"/>
        </w:rPr>
      </w:pPr>
      <w:r>
        <w:rPr>
          <w:rFonts w:ascii="Times New Roman" w:hAnsi="Times New Roman" w:eastAsia="宋体" w:cs="Times New Roman"/>
          <w:kern w:val="2"/>
          <w:sz w:val="21"/>
          <w:szCs w:val="24"/>
          <w:lang w:val="en-US" w:eastAsia="zh-CN" w:bidi="ar-SA"/>
        </w:rPr>
        <w:pict>
          <v:line id="Line 4" o:spid="_x0000_s1028" style="position:absolute;left:0;flip:y;margin-left:0pt;margin-top:2.2pt;height:0.05pt;width:445.05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仿宋_GB2312" w:eastAsia="仿宋_GB2312"/>
          <w:sz w:val="32"/>
        </w:rPr>
        <w:t xml:space="preserve">                                         </w:t>
      </w:r>
      <w:r>
        <w:rPr>
          <w:rFonts w:hint="eastAsia" w:ascii="仿宋_GB2312" w:eastAsia="仿宋_GB2312"/>
          <w:sz w:val="32"/>
        </w:rPr>
        <w:t>（共印3</w:t>
      </w:r>
      <w:r>
        <w:rPr>
          <w:rFonts w:ascii="仿宋_GB2312" w:eastAsia="仿宋_GB2312"/>
          <w:sz w:val="32"/>
        </w:rPr>
        <w:t>0</w:t>
      </w:r>
      <w:r>
        <w:rPr>
          <w:rFonts w:hint="eastAsia" w:ascii="仿宋_GB2312" w:eastAsia="仿宋_GB2312"/>
          <w:sz w:val="32"/>
        </w:rPr>
        <w:t>份）</w:t>
      </w:r>
    </w:p>
    <w:sectPr>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A49F5"/>
    <w:rsid w:val="00007FB1"/>
    <w:rsid w:val="00046C56"/>
    <w:rsid w:val="000570CD"/>
    <w:rsid w:val="0009734A"/>
    <w:rsid w:val="000A145D"/>
    <w:rsid w:val="000B2D94"/>
    <w:rsid w:val="000D23B4"/>
    <w:rsid w:val="000D5F19"/>
    <w:rsid w:val="000E692F"/>
    <w:rsid w:val="00144541"/>
    <w:rsid w:val="001A2410"/>
    <w:rsid w:val="002E57CB"/>
    <w:rsid w:val="003666C0"/>
    <w:rsid w:val="003A1508"/>
    <w:rsid w:val="00453F41"/>
    <w:rsid w:val="004E7302"/>
    <w:rsid w:val="004F646D"/>
    <w:rsid w:val="00525F24"/>
    <w:rsid w:val="00570DD4"/>
    <w:rsid w:val="005A6DF4"/>
    <w:rsid w:val="005D0385"/>
    <w:rsid w:val="006926A0"/>
    <w:rsid w:val="006C160E"/>
    <w:rsid w:val="006C1E1E"/>
    <w:rsid w:val="006C56BA"/>
    <w:rsid w:val="006E7D37"/>
    <w:rsid w:val="00777CA0"/>
    <w:rsid w:val="00783357"/>
    <w:rsid w:val="00783B30"/>
    <w:rsid w:val="007F63A3"/>
    <w:rsid w:val="00805F98"/>
    <w:rsid w:val="008441EE"/>
    <w:rsid w:val="00862E7E"/>
    <w:rsid w:val="00912054"/>
    <w:rsid w:val="00A3703C"/>
    <w:rsid w:val="00A62898"/>
    <w:rsid w:val="00A65A69"/>
    <w:rsid w:val="00A65E5B"/>
    <w:rsid w:val="00AB060A"/>
    <w:rsid w:val="00B209B8"/>
    <w:rsid w:val="00B24A2E"/>
    <w:rsid w:val="00B45DF9"/>
    <w:rsid w:val="00B648FF"/>
    <w:rsid w:val="00CA7E79"/>
    <w:rsid w:val="00CF08F8"/>
    <w:rsid w:val="00CF4781"/>
    <w:rsid w:val="00D23009"/>
    <w:rsid w:val="00D702C6"/>
    <w:rsid w:val="00D87B69"/>
    <w:rsid w:val="00E019D6"/>
    <w:rsid w:val="00E13229"/>
    <w:rsid w:val="00E20401"/>
    <w:rsid w:val="00EA3C33"/>
    <w:rsid w:val="00EB419B"/>
    <w:rsid w:val="00EE19B6"/>
    <w:rsid w:val="00FA49F5"/>
    <w:rsid w:val="00FB566E"/>
    <w:rsid w:val="4D752675"/>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nhideWhenUsed="0"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ody Text"/>
    <w:basedOn w:val="1"/>
    <w:link w:val="10"/>
    <w:semiHidden/>
    <w:uiPriority w:val="99"/>
    <w:rPr>
      <w:sz w:val="36"/>
      <w:szCs w:val="20"/>
    </w:rPr>
  </w:style>
  <w:style w:type="paragraph" w:styleId="3">
    <w:name w:val="Date"/>
    <w:basedOn w:val="1"/>
    <w:next w:val="1"/>
    <w:link w:val="11"/>
    <w:semiHidden/>
    <w:uiPriority w:val="99"/>
    <w:pPr>
      <w:ind w:left="100" w:leftChars="2500"/>
    </w:pPr>
  </w:style>
  <w:style w:type="paragraph" w:styleId="4">
    <w:name w:val="footer"/>
    <w:basedOn w:val="1"/>
    <w:link w:val="9"/>
    <w:semiHidden/>
    <w:uiPriority w:val="99"/>
    <w:pPr>
      <w:tabs>
        <w:tab w:val="center" w:pos="4153"/>
        <w:tab w:val="right" w:pos="8306"/>
      </w:tabs>
      <w:snapToGrid w:val="0"/>
      <w:jc w:val="left"/>
    </w:pPr>
    <w:rPr>
      <w:rFonts w:ascii="Calibri" w:hAnsi="Calibri"/>
      <w:sz w:val="18"/>
      <w:szCs w:val="18"/>
    </w:rPr>
  </w:style>
  <w:style w:type="paragraph" w:styleId="5">
    <w:name w:val="header"/>
    <w:basedOn w:val="1"/>
    <w:link w:val="8"/>
    <w:semiHidden/>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8">
    <w:name w:val="页眉 Char"/>
    <w:basedOn w:val="6"/>
    <w:link w:val="5"/>
    <w:semiHidden/>
    <w:locked/>
    <w:uiPriority w:val="99"/>
    <w:rPr>
      <w:rFonts w:cs="Times New Roman"/>
      <w:sz w:val="18"/>
      <w:szCs w:val="18"/>
    </w:rPr>
  </w:style>
  <w:style w:type="character" w:customStyle="1" w:styleId="9">
    <w:name w:val="页脚 Char"/>
    <w:basedOn w:val="6"/>
    <w:link w:val="4"/>
    <w:semiHidden/>
    <w:locked/>
    <w:uiPriority w:val="99"/>
    <w:rPr>
      <w:rFonts w:cs="Times New Roman"/>
      <w:sz w:val="18"/>
      <w:szCs w:val="18"/>
    </w:rPr>
  </w:style>
  <w:style w:type="character" w:customStyle="1" w:styleId="10">
    <w:name w:val="正文文本 Char"/>
    <w:basedOn w:val="6"/>
    <w:link w:val="2"/>
    <w:semiHidden/>
    <w:locked/>
    <w:uiPriority w:val="99"/>
    <w:rPr>
      <w:rFonts w:ascii="Times New Roman" w:hAnsi="Times New Roman" w:eastAsia="宋体" w:cs="Times New Roman"/>
      <w:sz w:val="20"/>
      <w:szCs w:val="20"/>
    </w:rPr>
  </w:style>
  <w:style w:type="character" w:customStyle="1" w:styleId="11">
    <w:name w:val="日期 Char"/>
    <w:basedOn w:val="6"/>
    <w:link w:val="3"/>
    <w:semiHidden/>
    <w:locked/>
    <w:uiPriority w:val="99"/>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106</Words>
  <Characters>606</Characters>
  <Lines>5</Lines>
  <Paragraphs>1</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2011-01-14T01:02:00Z</dcterms:created>
  <dc:creator>吴正松</dc:creator>
  <cp:lastModifiedBy>蒋琰</cp:lastModifiedBy>
  <cp:lastPrinted>2011-03-01T08:40:00Z</cp:lastPrinted>
  <dcterms:modified xsi:type="dcterms:W3CDTF">2015-09-30T07:05:41Z</dcterms:modified>
  <dc:title>重庆大学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